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Újságírói dilemmák megoldásra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Olvasd el az etikai kódexet: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https://muosz.hu/kodexek/ujsagiroi-etikai-kodex/?utm_source=chatgpt.com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Az olvasottak és hallottak alapján olvasd el a következő feladatokat, és vitasd meg, hogyan kellene viselkedni.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Az észt Etikai Kódex 3.7. pontja előírja, hogy „az újságíró nyilvánosan szerez hang- és képfelvételeket, valamint információkat.” Milyen esetben indokolt másik fél tudta nélkül filmezni vagy fényképezni? Milyen esetben indokolt, hogy az újságíró ne mutatkozzon be újságíróként információgyűjtéskor?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Információ érkezik az újság szerkesztőségéhez, miszerint egy ismert vállalat illegális munkásokat alkalmaz. Ezt az állítást egyértelmű tények is alátámasztják. Ugyanez a cég nagyon gyakran vásárol nagy és drága hirdetéseket az újságban. A hirdetési pénzből részben az újságírók fizetését is fedezik. Amikor az újságíró felhívja a cég vezetőjét, hogy magyarázatot kérjen a napvilágra került tényekre, a cégvezető arra kéri az újságírót, hogy ne publikálja a történetet. Ha az újságíró ezt nem teszi meg, a cégvezető azzal fenyegetőzik, hogy megszünteti a hirdetési szerződést a lappal. Dönthet-e úgy a szerkesztőség, hogy nem közli a történetet? Miért?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Egy gazdasági újságíró megtudja forrásától, hogy egy vállalkozó másnap bejelenti az egyik cégének nagyon nehéz pénzügyi helyzetét, ami valószínűleg a részvényárak csökkenését eredményezi. Az újságíró cikket ír erről. Az újságíró maga nemrégiben vásárolt részvényeket ebben a cégben. Eladhatja-e az újságíró a részvényeit, mielőtt a cikk megjelenik?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d) Az újságíró barátja egy nagy kaszinólánc könyvelője. Az újságíró a szerkesztőségi értekezleten hallja, hogy ennek a kaszinóláncnak a feltételezett adócsalásáról van szó. Megoszthat-e az újságíró információt a barátjával?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e) Az újságíró férje nagy konfliktusba kerül a főnökével, mert kritizálta a főnöke viselkedését a karácsonyi partin. Rövid időn belül a férjét elbocsátják azzal az indokkal, hogy az átszervezés miatt megszűnik az állása. Néhány hét múlva a férj észreveszi, hogy a cég új alkalmazottat keres az ő pozíciójába. Az újságíró 1) beszéljen-e a témáról a szerkesztőségben, 2) írjon-e erről egy történetet?</w:t>
      </w:r>
    </w:p>
    <w:p w:rsidR="00000000" w:rsidDel="00000000" w:rsidP="00000000" w:rsidRDefault="00000000" w:rsidRPr="00000000" w14:paraId="0000000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t-E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t-EE"/>
    </w:rPr>
  </w:style>
  <w:style w:type="character" w:styleId="Internetilink">
    <w:name w:val="Internetilink"/>
    <w:next w:val="Interneti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Pealkiri">
    <w:name w:val="Pealkiri"/>
    <w:basedOn w:val="Normal"/>
    <w:next w:val="Põhiteks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et-EE"/>
    </w:rPr>
  </w:style>
  <w:style w:type="paragraph" w:styleId="Põhitekst">
    <w:name w:val="Põhitekst"/>
    <w:basedOn w:val="Normal"/>
    <w:next w:val="Põhiteks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t-EE"/>
    </w:rPr>
  </w:style>
  <w:style w:type="paragraph" w:styleId="Loend">
    <w:name w:val="Loend"/>
    <w:basedOn w:val="Põhitekst"/>
    <w:next w:val="Loend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t-EE"/>
    </w:rPr>
  </w:style>
  <w:style w:type="paragraph" w:styleId="Pealdis">
    <w:name w:val="Pealdis"/>
    <w:basedOn w:val="Normal"/>
    <w:next w:val="Pealdis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t-EE"/>
    </w:rPr>
  </w:style>
  <w:style w:type="paragraph" w:styleId="Register">
    <w:name w:val="Register"/>
    <w:basedOn w:val="Normal"/>
    <w:next w:val="Register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und"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uosz.hu/kodexek/ujsagiroi-etikai-kodex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si1KasJWq2EhjtXMnVv15m1cEw==">CgMxLjA4AHIhMVFSUm5naEVvNWRJc1VLblJ1RUpqbW9hb3NYVUJ5d2ZF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2024-01-12T12:44:27Z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